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57b WiPrO — Verschwiegenheitspflicht und Verantwortlichkeit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Der Prüfer für Qualitätskontrolle und seine Gehilfen, die Mitglieder der Kommission für Qualitätskontrolle (§ 57e) und die Bediensteten der Wirtschaftsprüferkammer sind, auch nach Beendigung ihrer Tätigkeit, verpflichtet, über die ihnen im Rahmen der Qualitätskontrolle bekannt gewordenen Angelegenheiten Verschwiegenheit zu bewahren.</w:t>
      </w:r>
    </w:p>
    <w:p>
      <w:r>
        <w:t xml:space="preserve">(2) Für die Mitglieder der Kommission für Qualitätskontrolle und die Bediensteten der Wirtschaftsprüferkammer gilt § 59c Absatz 4 Satz 1 entsprechend. Der Genehmigung bedarf auch die Vorlegung oder Auslieferung von Schriftstücken durch die Wirtschaftsprüferkammer an Gerichte oder Behörden. Die Genehmigung erteilt in den Fällen der Sätze 1 und 2 die Kommission für Qualitätskontrolle. Sie kann nur erteilt werden, wenn der Beschuldigte den geprüften Wirtschaftsprüfer, die geprüfte Wirtschaftsprüfungsgesellschaft oder den Prüfer für Qualitätskontrolle von der Pflicht zur Verschwiegenheit entbunden hat.</w:t>
      </w:r>
    </w:p>
    <w:p>
      <w:r>
        <w:t xml:space="preserve">(3) Soweit dies zur Durchführung der Qualitätskontrolle erforderlich ist, ist die Pflicht zur Verschwiegenheit nach Absatz 1, § 43 Abs. 1 Satz 1, § 59c Absatz 1 und 2 Satz 1 Nummer 1 dieses Gesetzes und § 323 Abs. 1 Satz 1 des Handelsgesetzbuchs sowie die Pflicht zur Verschwiegenheit der Personen, die den Beruf gemeinsam mit dem Wirtschaftsprüfer in eigener Praxis ausüben, eingeschränkt.</w:t>
      </w:r>
    </w:p>
    <w:p>
      <w:r>
        <w:t xml:space="preserve">(4) § 323 des Handelsgesetzbuchs gilt vorbehaltlich des Absatzes 3 entsprechend.</w:t>
      </w:r>
    </w:p>
    <w:p>
      <w:r>
        <w:rPr>
          <w:color w:val="555555"/>
          <w:sz w:val="17"/>
        </w:rPr>
        <w:t xml:space="preserve">Zitiervorschlag: § 57b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