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WiPrO — Anwendung der Vorschriften über die Rechte und Pflichten der Wirtschaftsprüfer auf Wirtschaftsprüfungsgesellschaften</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Die §§ 43, 43a Absatz 2 und 3, §§ 44b, 49 bis 53, 54a und 55 bis 55c gelten sinngemäß für Wirtschaftsprüfungsgesellschaften sowie für Vorstandsmitglieder, Geschäftsführer, Partner und persönlich haftende Gesellschafter einer Wirtschaftsprüfungsgesellschaft, die nicht Wirtschaftsprüfer sind.</w:t>
      </w:r>
    </w:p>
    <w:p>
      <w:r>
        <w:t xml:space="preserve">(2) Die Mitglieder der durch Gesetz, Satzung oder Gesellschaftsvertrag vorgesehenen Aufsichtsorgane der Gesellschaften sind zur Verschwiegenheit verpflichtet.</w:t>
      </w:r>
    </w:p>
    <w:p>
      <w:r>
        <w:rPr>
          <w:color w:val="555555"/>
          <w:sz w:val="17"/>
        </w:rPr>
        <w:t xml:space="preserve">Zitiervorschlag: § 56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