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WiPrO — Verfahren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Eintragungen und Löschungen werden von der Wirtschaftsprüferkammer unverzüglich von Amts wegen vorgenommen.</w:t>
      </w:r>
    </w:p>
    <w:p>
      <w:r>
        <w:t xml:space="preserve">(2) Die Mitglieder der Wirtschaftsprüferkammer sind verpflichtet, die Tatsachen, die eine Eintragung, ihre Veränderung oder eine Löschung erforderlich machen, der Wirtschaftsprüferkammer unverzüglich schriftlich oder elektronisch mitzuteilen. § 62a gilt entsprechend.</w:t>
      </w:r>
    </w:p>
    <w:p>
      <w:r>
        <w:t xml:space="preserve">(3) Auf Antrag der Berufsangehörigen oder der Wirtschaftsprüfungsgesellschaften stellt die Wirtschaftsprüferkammer einen Registerauszug über die jeweilige Eintragung nach § 38 Nummer 1 Buchstabe h oder Nummer 2 Buchstabe f zur Verfügung.</w:t>
      </w:r>
    </w:p>
    <w:p>
      <w:r>
        <w:rPr>
          <w:color w:val="555555"/>
          <w:sz w:val="17"/>
        </w:rPr>
        <w:t xml:space="preserve">Zitiervorschlag: § 40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