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WiPrO — Rücknahme und Widerruf der Anerkennung</w:t>
      </w:r>
    </w:p>
    <w:p>
      <w:r>
        <w:rPr>
          <w:color w:val="555555"/>
          <w:sz w:val="18"/>
        </w:rPr>
        <w:t xml:space="preserve">Wirtschaftsprüferordnung</w:t>
      </w:r>
    </w:p>
    <w:p>
      <w:r>
        <w:rPr>
          <w:color w:val="555555"/>
          <w:sz w:val="18"/>
        </w:rPr>
        <w:t xml:space="preserve">Stand: 01.08.2022 (konsolidierte Textfassung, kein amtliches Inkrafttretensdatum)</w:t>
      </w:r>
    </w:p>
    <w:p>
      <w:r>
        <w:t xml:space="preserve">(1) Die Anerkennung ist zurückzunehmen oder zu widerrufen, wenn</w:t>
      </w:r>
    </w:p>
    <w:p>
      <w:pPr>
        <w:ind w:left="420"/>
      </w:pPr>
      <w:r>
        <w:t xml:space="preserve">1. für die Person eines Vorstandsmitgliedes, Geschäftsführers, persönlich haftenden Gesellschafters oder Partners die Bestellung zurückgenommen oder widerrufen ist, es sei denn, daß jede Vertretungs- und Geschäftsführungsbefugnis dieser Person unverzüglich widerrufen oder entzogen ist;</w:t>
      </w:r>
    </w:p>
    <w:p>
      <w:pPr>
        <w:ind w:left="420"/>
      </w:pPr>
      <w:r>
        <w:t xml:space="preserve">2. sich nach der Anerkennung ergibt, daß sie hätte versagt werden müssen, oder wenn die Voraussetzungen für die Anerkennung der Gesellschaft, auch bezogen auf § 54 Abs. 1, nachträglich fortfallen, es sei denn, daß die Gesellschaft innerhalb einer angemessenen, von der Wirtschaftsprüferkammer zu bestimmenden Frist, die bei Fortfall der in § 28 Abs. 2 Satz 3 und Abs. 3 Satz 2 genannten Voraussetzungen höchstens zwei Jahre betragen darf, den dem Gesetz entsprechenden Zustand herbeiführt; bei Fortfall der in § 28 Abs. 4 genannten Voraussetzungen wegen eines Erbfalls muß die Frist mindestens fünf Jahre betragen;</w:t>
      </w:r>
    </w:p>
    <w:p>
      <w:pPr>
        <w:ind w:left="420"/>
      </w:pPr>
      <w:r>
        <w:t xml:space="preserve">3. ein Mitglied des Vorstandes, ein Geschäftsführer, ein persönlich haftender Gesellschafter oder ein Partner durch eine unanfechtbare Entscheidung aus dem Beruf ausgeschlossen ist oder einer der in § 28 Abs. 2 Sätze 1, 2 und Abs. 3 genannten Personen die Eignung zur Vertretung und Geschäftsführung einer Wirtschaftsprüfungsgesellschaft aberkannt ist, es sei denn, daß die Wirtschaftsprüfungsgesellschaft der Wirtschaftsprüferkammer nachweist, daß jede Vertretungs- und Geschäftsführungsbefugnis der Person unverzüglich widerrufen oder entzogen ist.</w:t>
      </w:r>
    </w:p>
    <w:p>
      <w:r>
        <w:t xml:space="preserve">(2) Die Anerkennung ist zu widerrufen, wenn die Gesellschaft in nicht geordnete wirtschaftliche Verhältnisse, insbesondere in Vermögensverfall, geraten ist, es sei denn, daß dadurch die Interessen der Auftraggeber oder anderer Personen nicht gefährdet sind.</w:t>
      </w:r>
    </w:p>
    <w:p>
      <w:r>
        <w:t xml:space="preserve">(3) Über die Rücknahme und den Widerruf der Anerkennung entscheidet die Wirtschaftsprüferkammer.</w:t>
      </w:r>
    </w:p>
    <w:p>
      <w:r>
        <w:rPr>
          <w:color w:val="555555"/>
          <w:sz w:val="17"/>
        </w:rPr>
        <w:t xml:space="preserve">Zitiervorschlag: § 34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