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WiPrO — Erlöschen der Anerkennung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Anerkennung erlischt durch</w:t>
      </w:r>
    </w:p>
    <w:p>
      <w:pPr>
        <w:ind w:left="420"/>
      </w:pPr>
      <w:r>
        <w:t xml:space="preserve">1. Auflösung der Gesellschaft,</w:t>
      </w:r>
    </w:p>
    <w:p>
      <w:pPr>
        <w:ind w:left="420"/>
      </w:pPr>
      <w:r>
        <w:t xml:space="preserve">2. Verzicht auf die Anerkennung.</w:t>
      </w:r>
    </w:p>
    <w:p>
      <w:r>
        <w:t xml:space="preserve">(2) Der Verzicht ist schriftlich gegenüber der Wirtschaftsprüferkammer zu erklären. Die Auflösung der Gesellschaft ist der Wirtschaftsprüferkammer unverzüglich anzuzeigen.</w:t>
      </w:r>
    </w:p>
    <w:p>
      <w:r>
        <w:rPr>
          <w:color w:val="555555"/>
          <w:sz w:val="17"/>
        </w:rPr>
        <w:t xml:space="preserve">Zitiervorschlag: § 33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