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WiPrO — Berufliche Niederlassung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Berufsangehörige müssen unmittelbar nach der Bestellung eine berufliche Niederlassung begründen und eine solche unterhalten; wird die Niederlassung in einem Staat begründet, der nicht Mitgliedstaat der Europäischen Union oder Vertragsstaat des Abkommens über den europäischen Wirtschaftsraum (Drittstaat) oder die Schweiz ist, muss eine zustellungsfähige Anschrift im Inland unterhalten werden. Berufliche Niederlassung eines Berufsangehörigen ist die Praxis, von der aus er seinen Beruf überwiegend ausübt.</w:t>
      </w:r>
    </w:p>
    <w:p>
      <w:r>
        <w:t xml:space="preserve">(2) Bei Wirtschaftsprüfungsgesellschaften ist Sitz der Hauptniederlassung der Verwaltungssitz der Gesellschaft.</w:t>
      </w:r>
    </w:p>
    <w:p>
      <w:r>
        <w:t xml:space="preserve">(3) Berufsangehörige und Wirtschaftsprüfungsgesellschaften dürfen Zweigniederlassungen nach den Vorschriften dieses Gesetzes begründen.</w:t>
      </w:r>
    </w:p>
    <w:p>
      <w:r>
        <w:rPr>
          <w:color w:val="555555"/>
          <w:sz w:val="17"/>
        </w:rPr>
        <w:t xml:space="preserve">Zitiervorschlag: § 3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