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WiPrO — Ärztliches Gutachten im Bestellungsverfahren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Wenn es zur Entscheidung über den Versagungsgrund des § 16 Abs. 1 Nr. 5 erforderlich ist, gibt die Wirtschaftsprüferkammer dem Bewerber oder der Bewerberin auf, innerhalb einer bestimmten angemessenen Frist ein Gutachten eines bestimmten Arztes oder einer bestimmten Ärztin über den Gesundheitszustand des Bewerbers oder der Bewerberin vorzulegen. Das Gutachten muss auf einer Untersuchung und, wenn dies ein Amtsarzt oder eine Amtsärztin für notwendig hält, auch auf einer klinischen Beobachtung des Bewerbers oder der Bewerberin beruhen. Die Kosten des Gutachtens hat der Bewerber oder die Bewerberin zu tragen.</w:t>
      </w:r>
    </w:p>
    <w:p>
      <w:r>
        <w:t xml:space="preserve">(2) Anordnungen nach Absatz 1 sind mit Gründen zu versehen und dem Bewerber oder der Bewerberin zuzustellen. Gegen die Anordnungen kann innerhalb eines Monats nach der Zustellung ein Antrag auf gerichtliche Entscheidung gestellt werden.</w:t>
      </w:r>
    </w:p>
    <w:p>
      <w:r>
        <w:t xml:space="preserve">(3) Kommt der Bewerber oder die Bewerberin ohne ausreichenden Grund der Anordnung der Wirtschaftsprüferkammer nicht nach, gilt der Antrag auf Bestellung als zurückgenommen.</w:t>
      </w:r>
    </w:p>
    <w:p>
      <w:r>
        <w:rPr>
          <w:color w:val="555555"/>
          <w:sz w:val="17"/>
        </w:rPr>
        <w:t xml:space="preserve">Zitiervorschlag: § 16a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