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141 WiPrO — Inkrafttreten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Dieses Gesetz tritt am ersten Kalendertag des vierten auf seine Verkündung folgenden Kalendermonats in Kraft.</w:t>
      </w:r>
    </w:p>
    <w:p>
      <w:r>
        <w:t xml:space="preserve">(2) Die §§ 14, 48, 54, 131 Abs. 4 treten am Tage der Verkündung in Kraft.</w:t>
      </w:r>
    </w:p>
    <w:p>
      <w:r>
        <w:rPr>
          <w:color w:val="555555"/>
          <w:sz w:val="17"/>
        </w:rPr>
        <w:t xml:space="preserve">Zitiervorschlag: § 141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https://recht.nulegal.eu/gesetze/WiPrO/141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