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135 WiPrO — Übergangsvorschrift zum Finanzmarktintegritätsstärkungsgesetz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§ 43 Absatz 6 Satz 2 und § 54 in der ab dem 1. Juli 2021 geltenden Fassung sind erstmals auf alle gesetzlich vorgeschriebenen Abschlussprüfungen für das nach dem 31. Dezember 2021 beginnende Geschäftsjahr anzuwenden. § 54 in der bis einschließlich 30. Juni 2021 geltenden Fassung ist letztmals anzuwenden auf alle gesetzlich vorgeschriebenen Abschlussprüfungen für das vor dem 1. Januar 2022 beginnende Geschäftsjahr.</w:t>
      </w:r>
    </w:p>
    <w:p>
      <w:r>
        <w:rPr>
          <w:color w:val="555555"/>
          <w:sz w:val="17"/>
        </w:rPr>
        <w:t xml:space="preserve">Zitiervorschlag: § 135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