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133c WiPrO — Unbefugte Offenbarung fremder Betriebs- oder Geschäftsgeheimnisse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Mit Freiheitsstrafe bis zu einem Jahr oder mit Geldstrafe wird bestraft, wer entgegen § 66b Abs. 2 ein fremdes Geheimnis offenbart.</w:t>
      </w:r>
    </w:p>
    <w:p>
      <w:r>
        <w:t xml:space="preserve">(2) Handelt der Täter gegen Entgelt oder in der Absicht, sich oder einen anderen zu bereichern oder einen anderen zu schädigen, ist die Strafe Freiheitsstrafe bis zu zwei Jahren oder Geldstrafe.</w:t>
      </w:r>
    </w:p>
    <w:p>
      <w:r>
        <w:t xml:space="preserve">(3) Die Tat wird nur auf Antrag verfolgt.</w:t>
      </w:r>
    </w:p>
    <w:p>
      <w:r>
        <w:rPr>
          <w:color w:val="555555"/>
          <w:sz w:val="17"/>
        </w:rPr>
        <w:t xml:space="preserve">Zitiervorschlag: § 133c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