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133b WiPrO — Unbefugte Verwertung fremder Betriebs- oder Geschäftsgeheimnisse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Mit Freiheitsstrafe bis zu zwei Jahren oder mit Geldstrafe wird bestraft, wer entgegen § 66b Abs. 2 ein fremdes Geheimnis verwertet.</w:t>
      </w:r>
    </w:p>
    <w:p>
      <w:r>
        <w:t xml:space="preserve">(2) Die Tat wird nur auf Antrag verfolgt.</w:t>
      </w:r>
    </w:p>
    <w:p>
      <w:r>
        <w:rPr>
          <w:color w:val="555555"/>
          <w:sz w:val="17"/>
        </w:rPr>
        <w:t xml:space="preserve">Zitiervorschlag: § 133b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https://recht.nulegal.eu/gesetze/WiPrO/133b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