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132 WiPrO — Verbot verwechslungsfähiger Berufsbezeichnungen; Siegelimitate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Untersagt ist</w:t>
      </w:r>
    </w:p>
    <w:p>
      <w:pPr>
        <w:ind w:left="420"/>
      </w:pPr>
      <w:r>
        <w:t xml:space="preserve">1. das Führen der Berufsbezeichnung "Buchprüfer", "Bücherrevisor" oder "Wirtschaftstreuhänder" oder</w:t>
      </w:r>
    </w:p>
    <w:p>
      <w:pPr>
        <w:ind w:left="420"/>
      </w:pPr>
      <w:r>
        <w:t xml:space="preserve">2. das nach dem Recht eines anderen Staates berechtigte Führen der Berufsbezeichnungen "Wirtschaftsprüfer", "Wirtschaftsprüferin", "vereidigter Buchprüfer" oder "vereidigte Buchprüferin", ohne dass der andere Staat angegeben wird.</w:t>
      </w:r>
    </w:p>
    <w:p>
      <w:r>
        <w:t xml:space="preserve">(2) Siegel dürfen nur im geschäftlichen Verkehr verwendet werden, wenn sie den Bestimmungen über die Gestaltung des Siegels nach Maßgabe der Berufssatzung nach § 48 Abs. 2 entsprechen.</w:t>
      </w:r>
    </w:p>
    <w:p>
      <w:r>
        <w:t xml:space="preserve">(3) Ordnungswidrig handelt, wer</w:t>
      </w:r>
    </w:p>
    <w:p>
      <w:pPr>
        <w:ind w:left="420"/>
      </w:pPr>
      <w:r>
        <w:t xml:space="preserve">1. entgegen Absatz 1 Nr. 1 oder 2 eine Berufsbezeichnung führt oder</w:t>
      </w:r>
    </w:p>
    <w:p>
      <w:pPr>
        <w:ind w:left="420"/>
      </w:pPr>
      <w:r>
        <w:t xml:space="preserve">2. entgegen Absatz 2 ein Siegel verwendet.</w:t>
      </w:r>
    </w:p>
    <w:p>
      <w:r>
        <w:t xml:space="preserve">(4) Die Ordnungswidrigkeit kann mit einer Geldbuße bis zu 5 000 Euro geahndet werden.</w:t>
      </w:r>
    </w:p>
    <w:p>
      <w:r>
        <w:rPr>
          <w:color w:val="555555"/>
          <w:sz w:val="17"/>
        </w:rPr>
        <w:t xml:space="preserve">Zitiervorschlag: § 132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