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131b WiPrO — Überwachung der EU- und EWR-Abschlussprüfungsgesellschaften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Soweit nichts anderes geregelt ist, unterliegen EU- und EWR-Abschlussprüfungsgesellschaften im Hinblick auf ihre Tätigkeiten nach § 131 Satz 1 und 2 den Vorschriften dieses Gesetzes, insbesondere denjenigen der Berufsaufsicht (§§ 61a bis 71) und der Berufsgerichtsbarkeit (§§ 71a bis 127). Hinsichtlich der Inspektionen und der sonstigen Qualitätssicherungsprüfungen im Sinne des Artikels 29 der Richtlinie 2006/43/EG unterliegen sie der Aufsicht des Herkunftsstaats. Die Abschlussprüferaufsichtsstelle arbeitet nach § 66c mit den zuständigen Stellen der Herkunftsstaaten und gegebenenfalls anderer Aufnahmestaaten zusammen.</w:t>
      </w:r>
    </w:p>
    <w:p>
      <w:r>
        <w:rPr>
          <w:color w:val="555555"/>
          <w:sz w:val="17"/>
        </w:rPr>
        <w:t xml:space="preserve">Zitiervorschlag: § 131b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