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126 WiPrO — Vollstreckung der berufsaufsichtlichen Maßnahmen und der Kosten</w:t>
      </w:r>
    </w:p>
    <w:p>
      <w:r>
        <w:rPr>
          <w:color w:val="555555"/>
          <w:sz w:val="18"/>
        </w:rPr>
        <w:t xml:space="preserve">Wirtschaftsprüferordnung</w:t>
      </w:r>
    </w:p>
    <w:p>
      <w:r>
        <w:rPr>
          <w:color w:val="555555"/>
          <w:sz w:val="18"/>
        </w:rPr>
        <w:t xml:space="preserve">Stand: 01.08.2022 (konsolidierte Textfassung, kein amtliches Inkrafttretensdatum)</w:t>
      </w:r>
    </w:p>
    <w:p>
      <w:r>
        <w:t xml:space="preserve">(1) Die Ausschließung aus dem Beruf wird mit der Unanfechtbarkeit der Entscheidung über die berufsaufsichtliche Maßnahme wirksam.</w:t>
      </w:r>
    </w:p>
    <w:p>
      <w:r>
        <w:t xml:space="preserve">(2) Die Vollstreckung einer Geldbuße und eines Tätigkeitsverbots nach § 68 Absatz 1 Satz 2 Nummer 4 sowie die Beitreibung der Kosten werden nicht dadurch gehindert, dass der oder die Berufsangehörige nach rechtskräftigem Abschluss des Verfahrens aus dem Beruf ausgeschieden ist. Werden zusammen mit einer Geldbuße die Kosten des Verfahrens beigetrieben, so gelten auch für die Kosten die Vorschriften über die Vollstreckung der Geldbuße.</w:t>
      </w:r>
    </w:p>
    <w:p>
      <w:r>
        <w:rPr>
          <w:color w:val="555555"/>
          <w:sz w:val="17"/>
        </w:rPr>
        <w:t xml:space="preserve">Zitiervorschlag: § 126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