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120a WiPrO — Mitteilung des Verbots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Beschluß, durch den ein vorläufiges Tätigkeits- oder Berufsverbot verhängt wird, ist alsbald der Wirtschaftsprüferkammer in beglaubigter Abschrift mitzuteilen.</w:t>
      </w:r>
    </w:p>
    <w:p>
      <w:r>
        <w:t xml:space="preserve">(2) Tritt das vorläufige Tätigkeits- oder Berufsverbot außer Kraft oder wird es aufgehoben, so gilt Absatz 1 entsprechend.</w:t>
      </w:r>
    </w:p>
    <w:p>
      <w:r>
        <w:rPr>
          <w:color w:val="555555"/>
          <w:sz w:val="17"/>
        </w:rPr>
        <w:t xml:space="preserve">Zitiervorschlag: § 120a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https://recht.nulegal.eu/gesetze/WiPrO/120a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