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WiPrO — Wirkungen des Verbots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Beschluß wird mit der Verkündung wirksam.</w:t>
      </w:r>
    </w:p>
    <w:p>
      <w:r>
        <w:t xml:space="preserve">(2) Berufsangehörige, gegen die ein vorläufiges Tätigkeitsverbot verhängt ist, dürfen die in der Entscheidung genannten Tätigkeiten nicht ausüben. Berufsangehörige, gegen die ein vorläufiges Berufsverbot verhängt ist, dürfen ihren Beruf nicht ausüben.</w:t>
      </w:r>
    </w:p>
    <w:p>
      <w:r>
        <w:t xml:space="preserve">(3) Berufsangehörige, gegen die ein vorläufiges Tätigkeits- oder Berufsverbot verhängt ist, dürfen jedoch ihre eigenen Angelegenheiten sowie die Angelegenheiten ihrer Ehegatten, Lebenspartner und minderjährigen Kinder wahrnehmen, soweit es sich nicht um die Erteilung von Prüfungsvermerken handelt.</w:t>
      </w:r>
    </w:p>
    <w:p>
      <w:r>
        <w:t xml:space="preserve">(4) Die Wirksamkeit von Rechtshandlungen, die Berufsangehörige vornehmen, wird durch vorläufige Tätigkeits- oder Berufsverbote nicht berührt. Das Gleiche gilt für Rechtshandlungen, die ihnen gegenüber vorgenommen werden.</w:t>
      </w:r>
    </w:p>
    <w:p>
      <w:r>
        <w:rPr>
          <w:color w:val="555555"/>
          <w:sz w:val="17"/>
        </w:rPr>
        <w:t xml:space="preserve">Zitiervorschlag: § 116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