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111 WiPrO — Voraussetzung des Verbots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Sind dringende Gründe für die Annahme vorhanden, dass gegen Berufsangehörige auf Ausschließung aus dem Beruf erkannt werden wird, so kann durch Beschluss ein vorläufiges Tätigkeits- oder Berufsverbot verhängt werden.</w:t>
      </w:r>
    </w:p>
    <w:p>
      <w:r>
        <w:t xml:space="preserve">(2) Die Wirtschaftsprüferkammer oder die Abschlussprüferaufsichtsstelle kann in ihren jeweiligen Zuständigkeitsbereichen vor Einleitung des berufsgerichtlichen Verfahrens den Antrag auf Verhängung eines vorläufigen Tätigkeits- oder Berufsverbots stellen. In dem Antrag sind die Pflichtverletzung, die dem oder der Berufsangehörigen zur Last gelegt wird, sowie die Beweismittel anzugeben.</w:t>
      </w:r>
    </w:p>
    <w:p>
      <w:r>
        <w:t xml:space="preserve">(3) Für die Verhandlung und Entscheidung ist das Gericht zuständig, das im berufsgerichtlichen Verfahren gegen die Berufsangehörigen zu entscheiden hat oder vor dem das berufsgerichtliche Verfahren anhängig ist.</w:t>
      </w:r>
    </w:p>
    <w:p>
      <w:r>
        <w:rPr>
          <w:color w:val="555555"/>
          <w:sz w:val="17"/>
        </w:rPr>
        <w:t xml:space="preserve">Zitiervorschlag: § 111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https://recht.nulegal.eu/gesetze/WiPrO/111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