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WiPrO — Verfahren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Die Kammer für Wirtschaftsprüfersachen beim Landgericht hat von Amts wegen alle Beweise zu erheben, die eine Entscheidung darüber begründen können, ob das eingestellte Verfahren zur Ausschließung aus dem Beruf geführt hätte. Den Umfang des Verfahrens bestimmt die Kammer für Wirtschaftsprüfersachen beim Landgericht nach pflichtmäßigem Ermessen, ohne an Anträge gebunden zu sein; ihre Verfügungen können insoweit nicht angefochten werden.</w:t>
      </w:r>
    </w:p>
    <w:p>
      <w:r>
        <w:t xml:space="preserve">(2) Zeugen sind, soweit nicht Ausnahmen vorgeschrieben oder zugelassen sind, eidlich zu vernehmen.</w:t>
      </w:r>
    </w:p>
    <w:p>
      <w:r>
        <w:t xml:space="preserve">(3) Die Staatsanwaltschaft und der oder die frühere Berufsangehörige sind an dem Verfahren zu beteiligen. Ein Anspruch auf Benachrichtigung von den Terminen, die zum Zwecke der Beweissicherung anberaumt werden, steht den früheren Berufsangehörigen nur zu, wenn sie sich im Inland aufhalten und sie ihre Anschrift dem Landgericht angezeigt haben.</w:t>
      </w:r>
    </w:p>
    <w:p>
      <w:r>
        <w:rPr>
          <w:color w:val="555555"/>
          <w:sz w:val="17"/>
        </w:rPr>
        <w:t xml:space="preserve">Zitiervorschlag: § 110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