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107a WiPrO — Einlegung der Revision und Verfahren</w:t>
      </w:r>
    </w:p>
    <w:p>
      <w:r>
        <w:rPr>
          <w:color w:val="555555"/>
          <w:sz w:val="18"/>
        </w:rPr>
        <w:t xml:space="preserve">Wirtschaftsprüferordnung</w:t>
      </w:r>
    </w:p>
    <w:p>
      <w:r>
        <w:rPr>
          <w:color w:val="555555"/>
          <w:sz w:val="18"/>
        </w:rPr>
        <w:t xml:space="preserve">Stand: 01.08.2022 (konsolidierte Textfassung, kein amtliches Inkrafttretensdatum)</w:t>
      </w:r>
    </w:p>
    <w:p>
      <w:r>
        <w:t xml:space="preserve">(1) Die Revision ist binnen einer Woche bei dem Oberlandesgericht schriftlich einzulegen. Die Frist beginnt mit der Verkündung des Urteils. Ist das Urteil nicht in Anwesenheit der Berufsangehörigen verkündet worden, so beginnt für diesen oder diese die Frist mit der Zustellung.</w:t>
      </w:r>
    </w:p>
    <w:p>
      <w:r>
        <w:t xml:space="preserve">(2) Berufsangehörige können die Revisionsanträge und deren Begründung nur schriftlich anbringen.</w:t>
      </w:r>
    </w:p>
    <w:p>
      <w:r>
        <w:t xml:space="preserve">(3) § 103 Absatz 3 ist auf das Verfahren vor dem Bundesgerichtshof sinngemäß anzuwenden. In den Fällen des § 354 Absatz 2 der Strafprozessordnung ist an den nach § 73 zuständigen Senat für Wirtschaftsprüfersachen beim Oberlandesgericht zurückzuverweisen.</w:t>
      </w:r>
    </w:p>
    <w:p>
      <w:r>
        <w:rPr>
          <w:color w:val="555555"/>
          <w:sz w:val="17"/>
        </w:rPr>
        <w:t xml:space="preserve">Zitiervorschlag: § 107a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