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WiPrO — Entscheidung</w:t>
      </w:r>
    </w:p>
    <w:p>
      <w:r>
        <w:rPr>
          <w:color w:val="555555"/>
          <w:sz w:val="18"/>
        </w:rPr>
        <w:t xml:space="preserve">Wirtschaftsprüferordnung</w:t>
      </w:r>
    </w:p>
    <w:p>
      <w:r>
        <w:rPr>
          <w:color w:val="555555"/>
          <w:sz w:val="18"/>
        </w:rPr>
        <w:t xml:space="preserve">Stand: 29.10.2024 (konsolidierte Textfassung, kein amtliches Inkrafttretensdatum)</w:t>
      </w:r>
    </w:p>
    <w:p>
      <w:r>
        <w:t xml:space="preserve">(1) Die mündliche Verhandlung schließt mit der auf die Beratung folgenden Verkündung des Urteils.</w:t>
      </w:r>
    </w:p>
    <w:p>
      <w:r>
        <w:t xml:space="preserve">(2) Das Gericht entscheidet in der Sache selbst über alle Berufspflichtverletzungen, die Gegenstand der angefochtenen berufsaufsichtlichen Entscheidung nach § 68 sind, sowie über die zusammen mit der berufsaufsichtlichen Entscheidung ergangene Gebührenentscheidung. In der Sache selbst entscheidet es auf Zurückweisung des Antrags auf berufsgerichtliche Entscheidung oder unter Aufhebung der angefochtenen Entscheidung auf Verurteilung zu einer oder mehreren der in § 68 Absatz 1 und § 68a genannten Maßnahmen, auf Freisprechung oder auf Einstellung des Verfahrens nach Absatz 3.</w:t>
      </w:r>
    </w:p>
    <w:p>
      <w:r>
        <w:t xml:space="preserve">(3) Das berufsgerichtliche Verfahren ist, abgesehen von dem Fall des § 260 Absatz 3 der Strafprozessordnung, einzustellen,</w:t>
      </w:r>
    </w:p>
    <w:p>
      <w:pPr>
        <w:ind w:left="420"/>
      </w:pPr>
      <w:r>
        <w:t xml:space="preserve">1. wenn die Bestellung als Wirtschaftsprüfer oder die Anerkennung als Wirtschaftsprüfungsgesellschaft erloschen, zurückgenommen oder widerrufen ist (§§ 19, 20, 33, 34) oder</w:t>
      </w:r>
    </w:p>
    <w:p>
      <w:pPr>
        <w:ind w:left="420"/>
      </w:pPr>
      <w:r>
        <w:t xml:space="preserve">2. wenn nach § 69a Absatz 1 von einer berufsgerichtlichen Ahndung abzusehen ist.</w:t>
      </w:r>
    </w:p>
    <w:p>
      <w:r>
        <w:rPr>
          <w:color w:val="555555"/>
          <w:sz w:val="17"/>
        </w:rPr>
        <w:t xml:space="preserve">Zitiervorschlag: § 103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