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WiPrüfVO — Kostentragung</w:t>
      </w:r>
    </w:p>
    <w:p>
      <w:r>
        <w:rPr>
          <w:color w:val="555555"/>
          <w:sz w:val="18"/>
        </w:rPr>
        <w:t xml:space="preserve">Wirtschaftlichkeitsprüfungs-Verordnung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 der Tätigkeit des Vorsitzenden des Beschwerdeausschusses und seiner Stellvertreter verbundenen Kosten nach § 2 sowie die Kosten der Prüfungsstelle tragen die Kassenärztlichen Vereinigungen und die beteiligten Krankenkassen je zur Hälfte. Dies gilt auch für die Kosten aus Rechtsbehelfs- oder Rechtsmittelverfahren, der Beauftragung Dritter sowie Prüfungen nach § 274 des Fünften Buches Sozialgesetzbuch.</w:t>
      </w:r>
    </w:p>
    <w:p>
      <w:r>
        <w:t xml:space="preserve">(2) Die Kassenärztliche Vereinigung und die Krankenkassen oder die Verbände der Krankenkassen tragen die Kosten für die von ihnen entsandten Vertreter selbst.</w:t>
      </w:r>
    </w:p>
    <w:p>
      <w:r>
        <w:rPr>
          <w:color w:val="555555"/>
          <w:sz w:val="17"/>
        </w:rPr>
        <w:t xml:space="preserve">Zitiervorschlag: § 5 WiPrüfVO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https://recht.nulegal.eu/gesetze/WiPr%C3%BCfVO/5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