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WiKrAusglWG</w:t>
      </w:r>
    </w:p>
    <w:p>
      <w:r>
        <w:rPr>
          <w:color w:val="555555"/>
          <w:sz w:val="18"/>
        </w:rPr>
        <w:t xml:space="preserve">Investitionsförderungsgesetz Aufbau Ost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Zeitraum, in dem Mittel dieses Gesetzes nicht für die in § 3 festgelegten Zwecke oder abweichend von § 5 Abs. 2 Satz 2 und 3 verwendet werden, zahlen die Länder dem Bund Zinsen in Höhe von 6 vom Hundert jährlich.</w:t>
      </w:r>
    </w:p>
    <w:p>
      <w:r>
        <w:t xml:space="preserve">(2) Die nach § 5 Abs. 2 eingerichteten Verwahrkonten werden zum 31. Dezember 2004 geschlossen. Nicht benötigte Kassenmittel werden zu diesem Zeitpunkt an den Bund zurückübertragen. Absatz 1 bleibt unberührt.</w:t>
      </w:r>
    </w:p>
    <w:p>
      <w:r>
        <w:rPr>
          <w:color w:val="555555"/>
          <w:sz w:val="17"/>
        </w:rPr>
        <w:t xml:space="preserve">Zitiervorschlag: § 5a WiKrAusglWG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https://recht.nulegal.eu/gesetze/WiKrAusglWG/5a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