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WiKrAusglWG</w:t>
      </w:r>
    </w:p>
    <w:p>
      <w:r>
        <w:rPr>
          <w:color w:val="555555"/>
          <w:sz w:val="18"/>
        </w:rPr>
        <w:t xml:space="preserve">Investitionsförderungsgesetz Aufbau Ost</w:t>
      </w:r>
    </w:p>
    <w:p>
      <w:r>
        <w:rPr>
          <w:color w:val="555555"/>
          <w:sz w:val="18"/>
        </w:rPr>
        <w:t xml:space="preserve">Stand: 10.06.2019 (konsolidierte Textfassung, kein amtliches Inkrafttretensdatum)</w:t>
      </w:r>
    </w:p>
    <w:p>
      <w:r>
        <w:t xml:space="preserve">(1) Die Finanzhilfen des Bundes betragen 90 vom Hundert der öffentlichen Finanzierung. Die Länder können abweichend von Satz 1 bestimmen, daß der Anteil des Bundes weniger als 90 vom Hundert beträgt.</w:t>
      </w:r>
    </w:p>
    <w:p>
      <w:r>
        <w:t xml:space="preserve">(2) Der Bund richtet für die Finanzhilfen Verwahrkonten bei den Bundeskassen ein, auf die er die Jahrestranchen zur eigenen Bewirtschaftung durch die Länder überträgt. Die Minister und Senatoren der Finanzen der Länder sind ermächtigt, die zuständigen Bundeskassen zur Auszahlung der benötigten Kassenmittel aus den Verwahrkonten an die zuständigen Landeskassen anzuweisen, sobald die Bundesmittel zur anteiligen Begleichung fälliger Zahlungen benötigt werden. Die Länder leiten an Letztempfänger Finanzhilfen des Bundes unverzüglich, spätestens innerhalb von 30 Tagen weiter.</w:t>
      </w:r>
    </w:p>
    <w:p>
      <w:r>
        <w:t xml:space="preserve">(3) Von einem Land in einem Jahr nicht abgerufene Bundesmittel können in den Folgejahren bei Bedarf abgerufen werden. Absatz 2 Satz 2 und 3 gilt entsprechend.</w:t>
      </w:r>
    </w:p>
    <w:p>
      <w:r>
        <w:rPr>
          <w:color w:val="555555"/>
          <w:sz w:val="17"/>
        </w:rPr>
        <w:t xml:space="preserve">Zitiervorschlag: § 5 WiKrAusglWG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https://recht.nulegal.eu/gesetze/WiKrAusglWG/5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