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WiKrAusglWG</w:t>
      </w:r>
    </w:p>
    <w:p>
      <w:r>
        <w:rPr>
          <w:color w:val="555555"/>
          <w:sz w:val="18"/>
        </w:rPr>
        <w:t xml:space="preserve">Investitionsförderungsgesetz Aufbau 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Investitionen, die nach anderen Gesetzen und Verwaltungsvereinbarungen als Anteilsfinanzierung nach Artikel 104a Abs. 4 des Grundgesetzes gefördert werden oder nach Artikel 91a des Grundgesetzes durch den Bund gefördert werden können, können nicht gleichzeitig Finanzhilfen nach diesem Gesetz gewährt werden.</w:t>
      </w:r>
    </w:p>
    <w:p>
      <w:r>
        <w:t xml:space="preserve">(2) Investive Begleit- und Folgemaßnahmen werden nur gefördert, wenn sie unmittelbar in ursächlichem Zusammenhang mit den Maßnahmen nach § 3 stehen.</w:t>
      </w:r>
    </w:p>
    <w:p>
      <w:r>
        <w:rPr>
          <w:color w:val="555555"/>
          <w:sz w:val="17"/>
        </w:rPr>
        <w:t xml:space="preserve">Zitiervorschlag: § 4 WiKrAusglWG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https://recht.nulegal.eu/gesetze/WiKrAusglWG/4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