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WiKaBG (Nordrhein-Westfalen)</w:t>
      </w:r>
    </w:p>
    <w:p>
      <w:r>
        <w:rPr>
          <w:color w:val="555555"/>
          <w:sz w:val="18"/>
        </w:rPr>
        <w:t xml:space="preserve">Wirtschaftskammerbetrauungsgesetz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01.07.2018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Minister für Kinder, Familie, Flüchtlinge und Integration</w:t>
      </w:r>
    </w:p>
    <w:p>
      <w:r>
        <w:t xml:space="preserve">Der Minister der Finanzen</w:t>
      </w:r>
    </w:p>
    <w:p>
      <w:r>
        <w:t xml:space="preserve">Der Minister des Innern</w:t>
      </w:r>
    </w:p>
    <w:p>
      <w:r>
        <w:t xml:space="preserve">Der Minister für Wirtschaft, Innovation, Digitalisierung und Energie</w:t>
      </w:r>
    </w:p>
    <w:p>
      <w:r>
        <w:t xml:space="preserve">Der Minister für Arbeit, Gesundheit und Soziales</w:t>
      </w:r>
    </w:p>
    <w:p>
      <w:r>
        <w:t xml:space="preserve">Die Ministerin für Schule und Bildung</w:t>
      </w:r>
    </w:p>
    <w:p>
      <w:r>
        <w:t xml:space="preserve">Der Minister der Justiz</w:t>
      </w:r>
    </w:p>
    <w:p>
      <w:r>
        <w:t xml:space="preserve">Der Minister für Verkehr</w:t>
      </w:r>
    </w:p>
    <w:p>
      <w:r>
        <w:t xml:space="preserve">zugleich für die Ministerin für Heimat, Kommunales, Bau und Gleichstellung</w:t>
      </w:r>
    </w:p>
    <w:p>
      <w:r>
        <w:t xml:space="preserve">Die Ministerin für Umwelt, Landwirtschaft, Natur- und Verbraucherschutz</w:t>
      </w:r>
    </w:p>
    <w:p>
      <w:r>
        <w:t xml:space="preserve">zugleich für den Minister für Bundes- und Europaangelegenheiten sowie Internationales</w:t>
      </w:r>
    </w:p>
    <w:p>
      <w:r>
        <w:t xml:space="preserve">Die Ministerin für Kultur und Wissenschaft</w:t>
      </w:r>
    </w:p>
    <w:p>
      <w:r>
        <w:t xml:space="preserve">Hinweis:</w:t>
      </w:r>
    </w:p>
    <w:p>
      <w:r>
        <w:t xml:space="preserve">Vollzitat, starre Verweisung: „Wirtschaftskammerbetrauungsgesetz vom 22. März 2018 (GV. NRW. S. 172); das durch Artikel 3 des Gesetzes vom 30. Juni 2020 (GV. NRW. S. 456a) geändert worden ist“</w:t>
      </w:r>
    </w:p>
    <w:p>
      <w:r>
        <w:rPr>
          <w:color w:val="555555"/>
          <w:sz w:val="17"/>
        </w:rPr>
        <w:t xml:space="preserve">Zitiervorschlag: § 2 WiKaBG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https://recht.nulegal.eu/gesetze/WiKaBG/2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