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WiKaBG (Nordrhein-Westfalen)</w:t>
      </w:r>
    </w:p>
    <w:p>
      <w:r>
        <w:rPr>
          <w:color w:val="555555"/>
          <w:sz w:val="18"/>
        </w:rPr>
        <w:t xml:space="preserve">Wirtschaftskammerbetrauungsgesetz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Industrie- und Handelskammern und die Handwerkskammern werden als sonstige Stellen mit der Entgegennahme der Anzeige nach § 14 Absatz 1 der Gewerbeordnung in der Fassung der Bekanntmachung vom 22. Februar 1999 (BGBl. I S. 202), die zuletzt durch Artikel 15 des Gesetzes vom 22. November 2019 (BGBl. I S. 1746) geändert worden ist, in der jeweils geltenden Fassung, betraut.</w:t>
      </w:r>
    </w:p>
    <w:p>
      <w:r>
        <w:t xml:space="preserve">(2) Zur Wahrnehmung ihrer Aufgaben nach Absatz 1 bedienen sich die Industrie- und Handelskammern und die Handwerkskammern des Wirtschafts-Service-Portals des Landes Nordrhein-Westfalen.</w:t>
      </w:r>
    </w:p>
    <w:p>
      <w:r>
        <w:t xml:space="preserve">(3) Die nach Ziffer 1.4 der Anlage zur Gewerberechtsverordnung bestehende Zuständigkeit der örtlichen Ordnungsbehörde für die Entgegennahme der Anzeige nach § 14 Absatz 1 der Gewerbeordnung bleibt unberührt.</w:t>
      </w:r>
    </w:p>
    <w:p>
      <w:r>
        <w:rPr>
          <w:color w:val="555555"/>
          <w:sz w:val="17"/>
        </w:rPr>
        <w:t xml:space="preserve">Zitiervorschlag: § 1 WiKaBG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https://recht.nulegal.eu/gesetze/WiKaBG/1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WiKaBG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