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 WiGebO (Brandenburg)</w:t>
      </w:r>
    </w:p>
    <w:p>
      <w:r>
        <w:rPr>
          <w:color w:val="555555"/>
          <w:sz w:val="18"/>
        </w:rPr>
        <w:t xml:space="preserve">Widerspruchsgebührenordnung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Diese Verordnung tritt am 1. Januar 2005 in Kraft.</w:t>
      </w:r>
    </w:p>
    <w:p>
      <w:r>
        <w:t xml:space="preserve">Potsdam, den 20. November 2004</w:t>
      </w:r>
    </w:p>
    <w:p>
      <w:r>
        <w:t xml:space="preserve">Die Ministerin der Justiz</w:t>
      </w:r>
    </w:p>
    <w:p>
      <w:r>
        <w:t xml:space="preserve">Beate Blechinger</w:t>
      </w:r>
    </w:p>
    <w:p>
      <w:r>
        <w:rPr>
          <w:color w:val="555555"/>
          <w:sz w:val="17"/>
        </w:rPr>
        <w:t xml:space="preserve">Zitiervorschlag: § 5 WiGebO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https://recht.nulegal.eu/gesetze/WiGebO/5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