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WiGebO (Brandenburg)</w:t>
      </w:r>
    </w:p>
    <w:p>
      <w:r>
        <w:rPr>
          <w:color w:val="555555"/>
          <w:sz w:val="18"/>
        </w:rPr>
        <w:t xml:space="preserve">Widerspruchsgebührenordnung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Gebührenschuld nach § 2 entsteht nur, wenn der Widerspruch</w:t>
      </w:r>
    </w:p>
    <w:p>
      <w:r>
        <w:t xml:space="preserve">nach In-Kraft-Treten dieser Verordnung erhoben worden ist.</w:t>
      </w:r>
    </w:p>
    <w:p>
      <w:r>
        <w:rPr>
          <w:color w:val="555555"/>
          <w:sz w:val="17"/>
        </w:rPr>
        <w:t xml:space="preserve">Zitiervorschlag: § 4 WiGebO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https://recht.nulegal.eu/gesetze/WiGebO/4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