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WettschVerstV</w:t>
      </w:r>
    </w:p>
    <w:p>
      <w:r>
        <w:rPr>
          <w:color w:val="555555"/>
          <w:sz w:val="18"/>
        </w:rPr>
        <w:t xml:space="preserve">Verordnung über die Versteuerung von Wettscheinen im Abrechnungsverfahren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mit dem Tage ihrer Verkündung in Kraft.</w:t>
      </w:r>
    </w:p>
    <w:p>
      <w:r>
        <w:t xml:space="preserve">(2) Soweit im vorstehenden nichts anderes bestimmt ist, gelten die Ausführungsbestimmungen zum Rennwett- und Lotteriegesetze.</w:t>
      </w:r>
    </w:p>
    <w:p>
      <w:r>
        <w:rPr>
          <w:color w:val="555555"/>
          <w:sz w:val="17"/>
        </w:rPr>
        <w:t xml:space="preserve">Zitiervorschlag: § 11 WettschVerstV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https://recht.nulegal.eu/gesetze/WettschVerstV/11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