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WertAusglG</w:t>
      </w:r>
    </w:p>
    <w:p>
      <w:r>
        <w:rPr>
          <w:color w:val="555555"/>
          <w:sz w:val="18"/>
        </w:rPr>
        <w:t xml:space="preserve">Wertausgleichsgesetz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§ 16 wird im Land Berlin in folgender Fassung angewandt:</w:t>
      </w:r>
    </w:p>
    <w:p>
      <w:pPr>
        <w:ind w:left="420"/>
      </w:pPr>
      <w:r>
        <w:t xml:space="preserve">"§ 16Auf das Verfahren nach den §§ 11 bis 15 sind die §§ 107 bis 113 (dieser ohne Absatz 1 Satz 2), §§ 117 bis 119, 149 und 151 des Bundesbaugesetzes sinngemäß anzuwenden".</w:t>
      </w:r>
    </w:p>
    <w:p>
      <w:r>
        <w:t xml:space="preserve">(2) § 17 wird im Land Berlin in folgender Fassung angewandt:</w:t>
      </w:r>
    </w:p>
    <w:p>
      <w:pPr>
        <w:ind w:left="420"/>
      </w:pPr>
      <w:r>
        <w:t xml:space="preserve">"§ 17Ist der Entschädigungsbetrag, aus dem andere Entschädigungsberechtigte nach § 14 Abs. 3 und 4 zu befriedigen sind, in Anwendung des § 118 Abs. 1 des Bundesbaugesetzes unter Verzicht auf das Recht der Rücknahme zu hinterlegen, so ist in den Festsetzungsbescheid eine entsprechende Anordnung aufzunehmen".</w:t>
      </w:r>
    </w:p>
    <w:p>
      <w:r>
        <w:t xml:space="preserve">(3) Die §§ 26 und 27 sind im Land Berlin nicht anwendbar.</w:t>
      </w:r>
    </w:p>
    <w:p>
      <w:r>
        <w:rPr>
          <w:color w:val="555555"/>
          <w:sz w:val="17"/>
        </w:rPr>
        <w:t xml:space="preserve">Zitiervorschlag: § 29 WertAusglG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https://recht.nulegal.eu/gesetze/WertAusglG/29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