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WerkstoffPrAusbV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Absatz 4 und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