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WerkstoffPrAusbV — Struktur der Berufsausbildung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in die Ausbildung in einer der Fachrichtungen</w:t>
      </w:r>
    </w:p>
    <w:p>
      <w:pPr>
        <w:ind w:left="420"/>
      </w:pPr>
      <w:r>
        <w:t xml:space="preserve">1. Metalltechnik,</w:t>
      </w:r>
    </w:p>
    <w:p>
      <w:pPr>
        <w:ind w:left="420"/>
      </w:pPr>
      <w:r>
        <w:t xml:space="preserve">2. Kunststofftechnik,</w:t>
      </w:r>
    </w:p>
    <w:p>
      <w:pPr>
        <w:ind w:left="420"/>
      </w:pPr>
      <w:r>
        <w:t xml:space="preserve">3. Wärmebehandlungstechnik,</w:t>
      </w:r>
    </w:p>
    <w:p>
      <w:pPr>
        <w:ind w:left="420"/>
      </w:pPr>
      <w:r>
        <w:t xml:space="preserve">4. Systemtechnik.</w:t>
      </w:r>
    </w:p>
    <w:p>
      <w:r>
        <w:rPr>
          <w:color w:val="555555"/>
          <w:sz w:val="17"/>
        </w:rPr>
        <w:t xml:space="preserve">Zitiervorschlag: § 3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