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22 WerkstoffPrAusbV — Inkrafttreten, Außerkrafttreten</w:t>
      </w:r>
    </w:p>
    <w:p>
      <w:r>
        <w:rPr>
          <w:color w:val="555555"/>
          <w:sz w:val="18"/>
        </w:rPr>
        <w:t xml:space="preserve">Verordnung über die Berufsausbildung zum Werkstoffprüfer und zur Werkstoffprüferin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2013 in Kraft. Gleichzeitig tritt die Verordnung über die Berufsausbildung zum Werkstoffprüfer/zur Werkstoffprüferin vom 29. Mai 1996 (BGBl. I S. 773) außer Kraft.</w:t>
      </w:r>
    </w:p>
    <w:p>
      <w:r>
        <w:rPr>
          <w:color w:val="555555"/>
          <w:sz w:val="17"/>
        </w:rPr>
        <w:t xml:space="preserve">Zitiervorschlag: § 22 WerkstoffPrAusbV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https://recht.nulegal.eu/gesetze/WerkstoffPrAusbV/22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