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WerkstoffPrAusbV — Abschlussprüfung in der Fachrichtung Systemtechnik</w:t>
      </w:r>
    </w:p>
    <w:p>
      <w:r>
        <w:rPr>
          <w:color w:val="555555"/>
          <w:sz w:val="18"/>
        </w:rPr>
        <w:t xml:space="preserve">Verordnung über die Berufsausbildung zum Werkstoffprüfer und zur Werkstoffprüferin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nach § 38 des Berufsbildungsgesetzes erforderlich ist.</w:t>
      </w:r>
    </w:p>
    <w:p>
      <w:r>
        <w:rPr>
          <w:color w:val="555555"/>
          <w:sz w:val="17"/>
        </w:rPr>
        <w:t xml:space="preserve">Zitiervorschlag: § 18 WerkstoffPrAusbV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https://recht.nulegal.eu/gesetze/WerkstoffPrAusbV/18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