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WerbeS (Nordrhein-Westfalen) — Virtuelle Werbung</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 dem Einfügen virtueller Werbung in Sendungen ist das Ersetzen einer am Ort der Übertragung ohnehin bestehenden Werbung durch eine eingeblendete andere Werbebotschaft zu verstehen. Hierbei handelt es sich um am Aufnahmeort bereits vorhandene und nicht für die jeweilige Übertragung gesondert geschaffene neue Werbeflächen.</w:t>
      </w:r>
    </w:p>
    <w:p>
      <w:r>
        <w:t xml:space="preserve">(2) Die Einfügung virtueller Werbung für Produkte für die Werbung nach diesem Staatsvertrag oder nach anderen gesetzlichen Bestimmungen verboten ist, ist unzulässig.</w:t>
      </w:r>
    </w:p>
    <w:p>
      <w:r>
        <w:t xml:space="preserve">(3) Zu Beginn und am Ende von Sendungen, in denen virtuelle Werbung eingefügt wird, muss der Zuschauer optisch oder akustisch darauf hingewiesen werden, dass die am Ort der Übertragung vorhandene Werbung durch nachträgliche Bildbearbeitung verändert wird.</w:t>
      </w:r>
    </w:p>
    <w:p>
      <w:r>
        <w:rPr>
          <w:color w:val="555555"/>
          <w:sz w:val="17"/>
        </w:rPr>
        <w:t xml:space="preserve">Zitiervorschlag: § 8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