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WerbeS (Nordrhein-Westfalen) — Geltungsbereich</w:t>
      </w:r>
    </w:p>
    <w:p>
      <w:r>
        <w:rPr>
          <w:color w:val="555555"/>
          <w:sz w:val="18"/>
        </w:rPr>
        <w:t xml:space="preserve">Werbesatzung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Bestimmungen dieser Satzung gelten für private Rundfunkangebote (Hörfunk und Fernsehen), für rundfunkähnliche und linear verbreitete fernsehähnliche Telemedien privater Anbieter. Landesgesetzliche Ausnahmen im Sinn des § 73 MStV für landesweit, regional oder lokal verbreitete Rundfunkangebote bleiben unberührt. Die für Werbung geltenden Bestimmungen finden keine Anwendung auf die Wahlwerbung der Parteien und anderer Wahlvorschlagsberechtigter gemäß § 68 Abs. 2 MStV.</w:t>
      </w:r>
    </w:p>
    <w:p>
      <w:r>
        <w:rPr>
          <w:color w:val="555555"/>
          <w:sz w:val="17"/>
        </w:rPr>
        <w:t xml:space="preserve">Zitiervorschlag: § 2 WerbeS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https://recht.nulegal.eu/gesetze/WerbeS/2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