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WerbeS (Nordrhein-Westfalen) — Inkrafttreten, Außerkrafttreten</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tritt am 15. April 2021 in Kraft. Sind bis zum 14. April 2021 übereinstimmende Satzungen nicht von allen Landesmedienanstalten erlassen und veröffentlicht worden, wird diese Satzung gegenstandslos. Der Vorsitzende der Direktorenkonferenz der Landesmedienanstalten (DLM) veröffentlicht im Internetauftritt unter der Dachmarke „die medienanstalten“, ob alle Landesmedienanstalten innerhalb der Frist des Satzes 2 übereinstimmende Satzungen erlassen und veröffentlicht haben.</w:t>
      </w:r>
    </w:p>
    <w:p>
      <w:r>
        <w:t xml:space="preserve">(2) Gleichzeitig treten die Gemeinsamen Richtlinien der Landesmedienanstalten über die Werbung, die Produktplatzierung, das Sponsoring und das Teleshopping im Fernsehen (WerbeRL/FERNSEHEN) (Entwurfsdatum 23. Februar 2010) geändert am 26.02.2013 (Entwurfsdatum 18. September 2012), und die Gemeinsamen Richtlinien der Landesmedienanstalten für die Werbung, zur Durchführung der Trennung von Werbung und Programm und für das Sponsoring sowie Teleshopping im Hörfunk (WerbeRL/HÖRFUNK) (Entwurfsdatum 23. Februar 2010) außer Kraft.</w:t>
      </w:r>
    </w:p>
    <w:p>
      <w:r>
        <w:t xml:space="preserve">Düsseldorf, den 19. Februar 2021</w:t>
      </w:r>
    </w:p>
    <w:p>
      <w:r>
        <w:t xml:space="preserve">Der Direktor</w:t>
      </w:r>
    </w:p>
    <w:p>
      <w:r>
        <w:t xml:space="preserve">der Landesanstalt für Medien</w:t>
      </w:r>
    </w:p>
    <w:p>
      <w:r>
        <w:t xml:space="preserve">Nordrhein-Westfalen (LfM)</w:t>
      </w:r>
    </w:p>
    <w:p>
      <w:r>
        <w:t xml:space="preserve">Dr. Tobias S c h m i d</w:t>
      </w:r>
    </w:p>
    <w:p>
      <w:r>
        <w:rPr>
          <w:color w:val="555555"/>
          <w:sz w:val="17"/>
        </w:rPr>
        <w:t xml:space="preserve">Zitiervorschlag: § 17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