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WerbeS (Nordrhein-Westfalen) — Werbung in rundfunkähnlichen und linear verbreiteten fernsehähnlichenTelemedien</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Werbung in linear verbreiteten fernsehähnlichen Telemedien gelten die Vorschriften des 2. Abschnitts entsprechend. Satz 1 gilt unbeschadet von Abs. 2 und mit Ausnahme von § 6 Abs. 3 und § 13 auch für Werbung in rundfunkähnlichen Telemedien.</w:t>
      </w:r>
    </w:p>
    <w:p>
      <w:r>
        <w:t xml:space="preserve">(2) Die Kennzeichnung von Werbung in rundfunkähnlichen Telemedien kann in hörfunkähnlichen Angeboten durch ein akustisches Signal und in fernsehähnlichen Angeboten durch die dauerhafte Einblendung eines Schriftzuges mit der Aufschrift „Werbung“ oder durch ein optisches Signal erfolgen, welches nach optischer Gestaltung und zeitlicher Dauer (mind. 3 Sekunden) eindeutig als Ankündigung wahrnehmbar ist, dass als nächstes Werbung folgt. Die Ankündigung durch eine Ansage ist zulässig. 3In der Ansage ist das Wort „Werbung“ oder ein anderes Wort mit dem gleichen Wortstamm zu verwenden.</w:t>
      </w:r>
    </w:p>
    <w:p>
      <w:r>
        <w:t xml:space="preserve">4. Abschnitt:</w:t>
      </w:r>
    </w:p>
    <w:p>
      <w:r>
        <w:t xml:space="preserve">Schlussbestimmungen</w:t>
      </w:r>
    </w:p>
    <w:p>
      <w:r>
        <w:rPr>
          <w:color w:val="555555"/>
          <w:sz w:val="17"/>
        </w:rPr>
        <w:t xml:space="preserve">Zitiervorschlag: § 16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