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WerbeS (Nordrhein-Westfalen) — Adressierbare Werbung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Ohne Zutun des Nutzers ins Angebot integrierte Einblendungen und Angebote erfolgen in Verantwortung des Anbieters und gehören damit zu seinem Programm.</w:t>
      </w:r>
    </w:p>
    <w:p>
      <w:r>
        <w:t xml:space="preserve">(2) Adressierbare Werbung individueller oder zielgruppenspezifischer Art ist als Bestandteil des Programms in bundesweit verbreiteten Angeboten werberechtlich zulässig, sofern dadurch keine quantitativen oder qualitativen Werbebeschränkungen umgangen werden.</w:t>
      </w:r>
    </w:p>
    <w:p>
      <w:r>
        <w:t xml:space="preserve">(3) Soweit innerhalb des Verbreitungsgebietes einzelne oder mehrere geografische Räume gesondert adressiert werden, ist darin die nichtbundesweite Verbreitung von Rundfunkwerbung i.S.v. § 8 Abs. 11 MStV zu sehen, wenn der Nutzer sich sein Programm nicht selbst zusammenstellt.</w:t>
      </w:r>
    </w:p>
    <w:p>
      <w:r>
        <w:rPr>
          <w:color w:val="555555"/>
          <w:sz w:val="17"/>
        </w:rPr>
        <w:t xml:space="preserve">Zitiervorschlag: § 13 WerbeS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https://recht.nulegal.eu/gesetze/WerbeS/13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