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WeizenratVorRV</w:t>
      </w:r>
    </w:p>
    <w:p>
      <w:r>
        <w:rPr>
          <w:color w:val="555555"/>
          <w:sz w:val="18"/>
        </w:rPr>
        <w:t xml:space="preserve">Verordnung über die Gewährung von Vorrechten und Befreiungen an den Internationalen Weizenrat nach dem Weizenhandels-Übereinkommen von 1971</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(Bundesgesetzbl. 1954 II S. 639), zuletzt geändert durch das Gesetz vom 28. Februar 1964 (Bundesgesetzbl. II S. 187), verordnet die Bundesregierung mit Zustimmung des Bundesrates:</w:t>
      </w:r>
    </w:p>
    <w:p>
      <w:r>
        <w:rPr>
          <w:color w:val="555555"/>
          <w:sz w:val="17"/>
        </w:rPr>
        <w:t xml:space="preserve">Zitiervorschlag: Eingangsformel WeizenratVorRV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https://recht.nulegal.eu/gesetze/WeizenratVorRV/eingangsformel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