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WeizenratVorRV</w:t>
      </w:r>
    </w:p>
    <w:p>
      <w:r>
        <w:rPr>
          <w:color w:val="555555"/>
          <w:sz w:val="18"/>
        </w:rPr>
        <w:t xml:space="preserve">Verordnung über die Gewährung von Vorrechten und Befreiungen an den Internationalen Weizenrat nach dem Weizenhandels-Übereinkommen von 1971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an dem Tage in Kraft, an dem das Weizenhandels-Übereinkommen von 1971 nach seinem Artikel 26 für die Bundesrepublik Deutschland in Kraft tritt.</w:t>
      </w:r>
    </w:p>
    <w:p>
      <w:r>
        <w:t xml:space="preserve">(2) Diese Verordnung tritt an dem Tage außer Kraft, an dem das Weizenhandels-Übereinkommen von 1971 für die Bundesrepublik Deutschland außer Kraft tritt.</w:t>
      </w:r>
    </w:p>
    <w:p>
      <w:r>
        <w:t xml:space="preserve">(3) Der Tag des Inkrafttretens und des Außerkrafttretens ist im Bundesgesetzblatt bekanntzugeben.</w:t>
      </w:r>
    </w:p>
    <w:p>
      <w:r>
        <w:rPr>
          <w:color w:val="555555"/>
          <w:sz w:val="17"/>
        </w:rPr>
        <w:t xml:space="preserve">Zitiervorschlag: § 3 WeizenratVorRV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https://recht.nulegal.eu/gesetze/WeizenratVorRV/3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