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WeinkMstrV — Prüfung der fachtheoretischen Kenntnisse (Teil II)</w:t>
      </w:r>
    </w:p>
    <w:p>
      <w:r>
        <w:rPr>
          <w:color w:val="555555"/>
          <w:sz w:val="18"/>
        </w:rPr>
        <w:t xml:space="preserve">Weinküfermeisterverordnung</w:t>
      </w:r>
    </w:p>
    <w:p>
      <w:r>
        <w:rPr>
          <w:color w:val="555555"/>
          <w:sz w:val="18"/>
        </w:rPr>
        <w:t xml:space="preserve">Stand: 10.06.2019 (konsolidierte Textfassung, kein amtliches Inkrafttretensdatum)</w:t>
      </w:r>
    </w:p>
    <w:p>
      <w:r>
        <w:t xml:space="preserve">(1) In Teil II sind Kenntnisse in den folgenden fünf Prüfungsfächern nachzuweisen:</w:t>
      </w:r>
    </w:p>
    <w:p>
      <w:pPr>
        <w:ind w:left="420"/>
      </w:pPr>
      <w:r>
        <w:t xml:space="preserve">1. Fachrechnen:</w:t>
      </w:r>
    </w:p>
    <w:p>
      <w:pPr>
        <w:ind w:left="780"/>
      </w:pPr>
      <w:r>
        <w:t xml:space="preserve">a) Flächen-, Volumen- und Gewichtsberechnungen,</w:t>
      </w:r>
    </w:p>
    <w:p>
      <w:pPr>
        <w:ind w:left="780"/>
      </w:pPr>
      <w:r>
        <w:t xml:space="preserve">b) Mischungs-, Anreicherungs- und Entsäuerungsberechnungen;</w:t>
      </w:r>
    </w:p>
    <w:p>
      <w:pPr>
        <w:ind w:left="420"/>
      </w:pPr>
      <w:r>
        <w:t xml:space="preserve">2. Wein- und Lebensmittelrecht:berufsbezogene Vorschriften des Lebensmittelrechts, insbesondere Wein- und Lebensmittelgesetz;</w:t>
      </w:r>
    </w:p>
    <w:p>
      <w:pPr>
        <w:ind w:left="420"/>
      </w:pPr>
      <w:r>
        <w:t xml:space="preserve">3. Fachtechnologie:</w:t>
      </w:r>
    </w:p>
    <w:p>
      <w:pPr>
        <w:ind w:left="780"/>
      </w:pPr>
      <w:r>
        <w:t xml:space="preserve">a) Obst- und Weinbau,</w:t>
      </w:r>
    </w:p>
    <w:p>
      <w:pPr>
        <w:ind w:left="780"/>
      </w:pPr>
      <w:r>
        <w:t xml:space="preserve">b) Most- und Weinbehandlung,</w:t>
      </w:r>
    </w:p>
    <w:p>
      <w:pPr>
        <w:ind w:left="780"/>
      </w:pPr>
      <w:r>
        <w:t xml:space="preserve">c) Gärung,</w:t>
      </w:r>
    </w:p>
    <w:p>
      <w:pPr>
        <w:ind w:left="780"/>
      </w:pPr>
      <w:r>
        <w:t xml:space="preserve">d) Weinausbau,</w:t>
      </w:r>
    </w:p>
    <w:p>
      <w:pPr>
        <w:ind w:left="780"/>
      </w:pPr>
      <w:r>
        <w:t xml:space="preserve">e) Fehler und Krankheiten des Weins,</w:t>
      </w:r>
    </w:p>
    <w:p>
      <w:pPr>
        <w:ind w:left="780"/>
      </w:pPr>
      <w:r>
        <w:t xml:space="preserve">f) Inhaltsstoffe des Mostes und des Weins,</w:t>
      </w:r>
    </w:p>
    <w:p>
      <w:pPr>
        <w:ind w:left="780"/>
      </w:pPr>
      <w:r>
        <w:t xml:space="preserve">g) Verwertung und Entsorgung von Verarbeitungsrückständen,</w:t>
      </w:r>
    </w:p>
    <w:p>
      <w:pPr>
        <w:ind w:left="780"/>
      </w:pPr>
      <w:r>
        <w:t xml:space="preserve">h) Kellereimaschinen und Geräte,</w:t>
      </w:r>
    </w:p>
    <w:p>
      <w:pPr>
        <w:ind w:left="780"/>
      </w:pPr>
      <w:r>
        <w:t xml:space="preserve">i) Herstellung und Behandlung von Wein, Sekt, Bränden, Saft, Obst- und Fruchtweinen und artverwandten Getränken,</w:t>
      </w:r>
    </w:p>
    <w:p>
      <w:pPr>
        <w:ind w:left="780"/>
      </w:pPr>
      <w:r>
        <w:t xml:space="preserve">k) Abfüllung,</w:t>
      </w:r>
    </w:p>
    <w:p>
      <w:pPr>
        <w:ind w:left="780"/>
      </w:pPr>
      <w:r>
        <w:t xml:space="preserve">l) Etikettierung, Ausstattung und Vermarktung;</w:t>
      </w:r>
    </w:p>
    <w:p>
      <w:pPr>
        <w:ind w:left="420"/>
      </w:pPr>
      <w:r>
        <w:t xml:space="preserve">4. Roh- und Hilfsstoffe:Arten, Eigenschaften, Verwendung, Verarbeitung und Lagerung der berufsbezogenen Roh- und Hilfsstoffe;</w:t>
      </w:r>
    </w:p>
    <w:p>
      <w:pPr>
        <w:ind w:left="420"/>
      </w:pPr>
      <w:r>
        <w:t xml:space="preserve">5. Kalkulation:Kostenermittlung unter Einbeziehung aller für die Preisbildung wesentlichen Faktoren.</w:t>
      </w:r>
    </w:p>
    <w:p>
      <w:r>
        <w:t xml:space="preserve">(2) Die Prüfung ist schriftlich und mündlich durchzuführen.</w:t>
      </w:r>
    </w:p>
    <w:p>
      <w:r>
        <w:t xml:space="preserve">(3) Die schriftliche Prüfung soll insgesamt nicht länger als zwölf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dem Prüfungsfach nach Absatz 1 Nr. 2.</w:t>
      </w:r>
    </w:p>
    <w:p>
      <w:r>
        <w:rPr>
          <w:color w:val="555555"/>
          <w:sz w:val="17"/>
        </w:rPr>
        <w:t xml:space="preserve">Zitiervorschlag: § 5 WeinkMstrV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https://recht.nulegal.eu/gesetze/WeinkMstrV/5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