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WeinkMstrV — Gliederung, Dauer und Bestehen der praktischen Prüfung (Teil I)</w:t>
      </w:r>
    </w:p>
    <w:p>
      <w:r>
        <w:rPr>
          <w:color w:val="555555"/>
          <w:sz w:val="18"/>
        </w:rPr>
        <w:t xml:space="preserve">Weinküfermeisterverordnung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Teil I sind eine Meisterprüfungsarbeit anzufertigen und eine Arbeitsprobe auszuführen. Bei der Bestimmung der Meisterprüfungsarbeit sollen die Vorschläge des Prüflings nach Möglichkeit berücksichtigt werden.</w:t>
      </w:r>
    </w:p>
    <w:p>
      <w:r>
        <w:t xml:space="preserve">(2) Die Anfertigung der Meisterprüfungsarbeit soll nicht länger als 20 Arbeitstage, die Ausführung der Arbeitsprobe nicht länger als acht Stunden dauern.</w:t>
      </w:r>
    </w:p>
    <w:p>
      <w:r>
        <w:t xml:space="preserve">(3) Mindestvoraussetzung für das Bestehen des Teils I sind jeweils ausreichende Leistungen in der Meisterprüfungsarbeit und in der Arbeitsprobe.</w:t>
      </w:r>
    </w:p>
    <w:p>
      <w:r>
        <w:rPr>
          <w:color w:val="555555"/>
          <w:sz w:val="17"/>
        </w:rPr>
        <w:t xml:space="preserve">Zitiervorschlag: § 2 WeinkMstrV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https://recht.nulegal.eu/gesetze/WeinkMstrV/2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