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WeinfondsV 2008</w:t>
      </w:r>
    </w:p>
    <w:p>
      <w:r>
        <w:rPr>
          <w:color w:val="555555"/>
          <w:sz w:val="18"/>
        </w:rPr>
        <w:t xml:space="preserve">Weinfonds-Verordnung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Ernährung, Landwirtschaft und Verbraucherschutz verordnet auf Grund</w:t>
      </w:r>
    </w:p>
    <w:p>
      <w:pPr>
        <w:ind w:left="420"/>
      </w:pPr>
      <w:r>
        <w:t xml:space="preserve">– des § 44 Abs. 2 Satz 2 in Verbindung mit Satz 3 des Weingesetzes in der Fassung der Bekanntmachung vom 16. Mai 2001 (BGBl. I S. 985), § 44 Abs. 2 Satz 2 zuletzt geändert durch Artikel 1 des Gesetzes vom 16. Mai 2007 (BGBl. I S. 753), sowie</w:t>
      </w:r>
    </w:p>
    <w:p>
      <w:pPr>
        <w:ind w:left="420"/>
      </w:pPr>
      <w:r>
        <w:t xml:space="preserve">– des § 36 Abs. 3 des Gesetzes über Ordnungswidrigkeiten in der Fassung der Bekanntmachung vom 19. Februar 1987 (BGBl. I S. 602), der zuletzt durch Artikel 1 des Gesetzes vom 26. Januar 1998 (BGBl. I S. 156, 340) geändert worden ist:</w:t>
      </w:r>
    </w:p>
    <w:p>
      <w:r>
        <w:rPr>
          <w:color w:val="555555"/>
          <w:sz w:val="17"/>
        </w:rPr>
        <w:t xml:space="preserve">Zitiervorschlag: Eingangsformel WeinfondsV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https://recht.nulegal.eu/gesetze/WeinfondsV%202008/eingangsformel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