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WeinfondsV 2008 — Ordnungswidrigkeiten</w:t>
      </w:r>
    </w:p>
    <w:p>
      <w:r>
        <w:rPr>
          <w:color w:val="555555"/>
          <w:sz w:val="18"/>
        </w:rPr>
        <w:t xml:space="preserve">Weinfonds-Verordnung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50 Abs. 2 Nr. 4 des Weingesetzes handelt, wer vorsätzlich oder fahrlässig</w:t>
      </w:r>
    </w:p>
    <w:p>
      <w:pPr>
        <w:ind w:left="420"/>
      </w:pPr>
      <w:r>
        <w:t xml:space="preserve">1. entgegen § 1 Abs. 2 Satz 1 oder Abs. 6 Satz 2 eine Meldung nicht, nicht richtig, nicht vollständig oder nicht rechtzeitig macht,</w:t>
      </w:r>
    </w:p>
    <w:p>
      <w:pPr>
        <w:ind w:left="420"/>
      </w:pPr>
      <w:r>
        <w:t xml:space="preserve">2. entgegen § 2 Verkaufs- oder Abgabebelege nicht oder nicht vollständig sammelt oder nicht oder nicht für die vorgeschriebene Dauer aufbewahrt oder</w:t>
      </w:r>
    </w:p>
    <w:p>
      <w:pPr>
        <w:ind w:left="420"/>
      </w:pPr>
      <w:r>
        <w:t xml:space="preserve">3. entgegen § 3 eine Mitteilung nicht, nicht richtig oder nicht rechtzeitig macht oder Bücher oder Geschäftspapiere nicht oder nicht rechtzeitig zur Einsicht vorlegt.</w:t>
      </w:r>
    </w:p>
    <w:p>
      <w:r>
        <w:rPr>
          <w:color w:val="555555"/>
          <w:sz w:val="17"/>
        </w:rPr>
        <w:t xml:space="preserve">Zitiervorschlag: § 4 WeinfondsV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https://recht.nulegal.eu/gesetze/WeinfondsV%202008/4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WeinfondsV 2008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