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WeinVergV — Anträge, Forderungen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(1) Vergünstigungen nach § 1 werden auf schriftlichen Antrag gewährt.</w:t>
      </w:r>
    </w:p>
    <w:p>
      <w:r>
        <w:t xml:space="preserve">(2) Vergünstigungen werden durch Bescheid festgesetzt.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3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