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WeinVergV — Zuständige Stellen</w:t>
      </w:r>
    </w:p>
    <w:p>
      <w:r>
        <w:rPr>
          <w:color w:val="555555"/>
          <w:sz w:val="18"/>
        </w:rPr>
        <w:t xml:space="preserve">Wein-Vergünstigungsverordnung</w:t>
      </w:r>
    </w:p>
    <w:p>
      <w:r>
        <w:rPr>
          <w:color w:val="555555"/>
          <w:sz w:val="18"/>
        </w:rPr>
        <w:t xml:space="preserve">Historische Fassung: Stand 10.06.2019 bis 10.11.2023. Dies ist nicht die aktuelle Fassung.</w:t>
      </w:r>
    </w:p>
    <w:p>
      <w:r>
        <w:t xml:space="preserve">(1) Zuständig für die Durchführung dieser Verordnung und der in § 1 genannten Rechtsakte ist vorbehaltlich des Absatzes 2 die Bundesanstalt für Landwirtschaft und Ernährung (Bundesanstalt).</w:t>
      </w:r>
    </w:p>
    <w:p>
      <w:r>
        <w:t xml:space="preserve">(2) Zuständig für die Prüfung von Menge und Alkoholgehalt des zur Destillation bestimmten Weines oder Brennweines und für die Überwachung der Destillation ist die Bundesfinanzverwaltung.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 WeinVergV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https://recht.nulegal.eu/gesetze/WeinVergV/2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