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WeinV — Straftaten</w:t>
      </w:r>
    </w:p>
    <w:p>
      <w:r>
        <w:rPr>
          <w:color w:val="555555"/>
          <w:sz w:val="18"/>
        </w:rPr>
        <w:t xml:space="preserve">Verordnung zur vorläufigen Aufrechterhaltung weinrechtlicher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67 Abs. 2 bis 4 des Weingesetzes wird bestraft, wer vorsätzlich oder fahrlässig entgegen § 22 Mischgetränke ohne die vorgeschriebene Kenntlichmachung in den Verkehr bringt.</w:t>
      </w:r>
    </w:p>
    <w:p>
      <w:r>
        <w:rPr>
          <w:color w:val="555555"/>
          <w:sz w:val="17"/>
        </w:rPr>
        <w:t xml:space="preserve">Zitiervorschlag: § 26 WeinV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