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WeinV 1995 — Angabe des Loses (zu § 24 Absatz 2 Nummer 1 und 2 und Absatz 3 Nummer 5 des Weingesetzes)</w:t>
      </w:r>
    </w:p>
    <w:p>
      <w:r>
        <w:rPr>
          <w:color w:val="555555"/>
          <w:sz w:val="18"/>
        </w:rPr>
        <w:t xml:space="preserve">Weinverordnung</w:t>
      </w:r>
    </w:p>
    <w:p>
      <w:r>
        <w:rPr>
          <w:color w:val="555555"/>
          <w:sz w:val="18"/>
        </w:rPr>
        <w:t xml:space="preserve">Stand: 09.05.2021 (konsolidierte Textfassung, kein amtliches Inkrafttretensdatum)</w:t>
      </w:r>
    </w:p>
    <w:p>
      <w:r>
        <w:t xml:space="preserve">(1) Erzeugnisse dürfen nur in den Verkehr gebracht werden, wenn sie mit einer gut sichtbaren, deutlich lesbaren sowie unverwischbar angebrachten Angabe gekennzeichnet sind, aus der das Los zu ersehen ist, zu dem sie gehören. Die Angabe muss aus einer Buchstaben-Kombination, Ziffern-Kombination oder Buchstaben-/Ziffern-Kombination bestehen. Der Angabe ist der Buchstabe "L" voranzustellen, soweit sie sich nicht deutlich von den anderen Angaben der Kennzeichnung unterscheidet.</w:t>
      </w:r>
    </w:p>
    <w:p>
      <w:r>
        <w:t xml:space="preserve">(2) Ein Los ist die Gesamtheit von Verkaufseinheiten eines Erzeugnisses, das unter praktisch gleichen Bedingungen erzeugt, hergestellt, abgefüllt oder verpackt wurde. Das Los wird vom Erzeuger, Hersteller, Abfüller, Verpacker oder vom ersten im Inland niedergelassenen Verkäufer des betreffenden Erzeugnisses festgelegt.</w:t>
      </w:r>
    </w:p>
    <w:p>
      <w:r>
        <w:t xml:space="preserve">(3) Absatz 1 gilt, mit Ausnahme weinhaltiger Getränke, aromatisierter Weine, aromatisierter weinhaltiger Getränke und aromatisierter weinhaltiger Cocktails, nicht für Erzeugnisse, soweit diese</w:t>
      </w:r>
    </w:p>
    <w:p>
      <w:pPr>
        <w:ind w:left="420"/>
      </w:pPr>
      <w:r>
        <w:t xml:space="preserve">1. unmittelbar von einem landwirtschaftlichen Betrieb</w:t>
      </w:r>
    </w:p>
    <w:p>
      <w:pPr>
        <w:ind w:left="780"/>
      </w:pPr>
      <w:r>
        <w:t xml:space="preserve">a) an Lager-, Aufmachungs-, Abfüll- oder Verpackungsstellen verkauft oder verbracht werden,</w:t>
      </w:r>
    </w:p>
    <w:p>
      <w:pPr>
        <w:ind w:left="780"/>
      </w:pPr>
      <w:r>
        <w:t xml:space="preserve">b) an Erzeugerorganisationen weitergeleitet werden oder</w:t>
      </w:r>
    </w:p>
    <w:p>
      <w:pPr>
        <w:ind w:left="780"/>
      </w:pPr>
      <w:r>
        <w:t xml:space="preserve">c) zur sofortigen Verwendung in einem in Betrieb befindlichen Zubereitungs- oder Verarbeitungssystem gesammelt werden,</w:t>
      </w:r>
    </w:p>
    <w:p>
      <w:pPr>
        <w:ind w:left="420"/>
      </w:pPr>
      <w:r>
        <w:t xml:space="preserve">2. erst in der Verkaufsstätte auf Anfrage des Käufers oder im Hinblick auf ihre alsbaldige Abgabe an den Verbraucher abgefüllt oder verpackt und dort abgegeben werden.</w:t>
      </w:r>
    </w:p>
    <w:p>
      <w:r>
        <w:t xml:space="preserve">(4) Ferner gilt Absatz 1 nicht für Erzeugnisse, die von der Verpflichtung zur Etikettierung befreit sind.</w:t>
      </w:r>
    </w:p>
    <w:p>
      <w:r>
        <w:t xml:space="preserve">(5) (weggefallen)</w:t>
      </w:r>
    </w:p>
    <w:p>
      <w:r>
        <w:t xml:space="preserve">(6) Wird bei inländischem Qualitätswein, Prädikatswein, Qualitätslikörwein b.A., Qualitätsperlwein b.A., Qualitätsschaumwein und Sekt b.A., dem eine amtliche Prüfungsnummer zugeteilt worden ist, die amtliche Prüfungsnummer als Angabe nach Absatz 1 Satz 1 verwendet, muss den Worten "Amtliche Prüfungsnummer" oder der Kurzform der Buchstabe "L" vorangestellt werden, soweit sich die amtliche Prüfungsnummer nicht deutlich von den anderen Angaben der Kennzeichnung unterscheidet.</w:t>
      </w:r>
    </w:p>
    <w:p>
      <w:r>
        <w:rPr>
          <w:color w:val="555555"/>
          <w:sz w:val="17"/>
        </w:rPr>
        <w:t xml:space="preserve">Zitiervorschlag: § 50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