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WeinV 1995 — Art der Aufmachung (zu § 21 Absatz 1 Nummer 4 und § 24 Absatz 3 Nummer 5 des Weingesetzes)</w:t>
      </w:r>
    </w:p>
    <w:p>
      <w:r>
        <w:rPr>
          <w:color w:val="555555"/>
          <w:sz w:val="18"/>
        </w:rPr>
        <w:t xml:space="preserve">Weinverordnung</w:t>
      </w:r>
    </w:p>
    <w:p>
      <w:r>
        <w:rPr>
          <w:color w:val="555555"/>
          <w:sz w:val="18"/>
        </w:rPr>
        <w:t xml:space="preserve">Stand: 10.06.2019 (konsolidierte Textfassung, kein amtliches Inkrafttretensdatum)</w:t>
      </w:r>
    </w:p>
    <w:p>
      <w:r>
        <w:t xml:space="preserve">(1) (weggefallen)</w:t>
      </w:r>
    </w:p>
    <w:p>
      <w:r>
        <w:t xml:space="preserve">(2) (weggefallen)</w:t>
      </w:r>
    </w:p>
    <w:p>
      <w:r>
        <w:t xml:space="preserve">(3) (weggefallen)</w:t>
      </w:r>
    </w:p>
    <w:p>
      <w:r>
        <w:t xml:space="preserve">(4) Bei inländischem Qualitätswein, Prädikatswein, Qualitätslikörwein b.A., Qualitätsperlwein b.A., Sekt b.A., Qualitätsschaumwein und Sekt, dem eine amtliche Prüfungsnummer zugeteilt worden ist, sind der Prüfungsnummer die Worte "Amtliche Prüfungsnummer" voranzustellen. Anstelle der Worte "Amtliche Prüfungsnummer" kann eine Kurzform gebraucht werden.</w:t>
      </w:r>
    </w:p>
    <w:p>
      <w:r>
        <w:t xml:space="preserve">(5) Bei der Flaschenausstattung, auf Preisangeboten oder in der Werbung darf eine Marke (Wort- oder Bildzeichen) neben der Weinbezeichnung nur verwendet werden, wenn sie von der Weinbezeichnung deutlich abgehoben ist.</w:t>
      </w:r>
    </w:p>
    <w:p>
      <w:r>
        <w:rPr>
          <w:color w:val="555555"/>
          <w:sz w:val="17"/>
        </w:rPr>
        <w:t xml:space="preserve">Zitiervorschlag: § 49 WeinV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https://recht.nulegal.eu/gesetze/WeinV%201995/49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